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1E" w:rsidRPr="00CF281E" w:rsidRDefault="00CF281E" w:rsidP="00CF281E">
      <w:pPr>
        <w:pStyle w:val="2"/>
        <w:spacing w:before="0" w:beforeAutospacing="0" w:after="225" w:afterAutospacing="0" w:line="495" w:lineRule="atLeast"/>
        <w:rPr>
          <w:rFonts w:ascii="標楷體" w:eastAsia="標楷體" w:hAnsi="標楷體"/>
          <w:bCs w:val="0"/>
          <w:color w:val="FF0000"/>
          <w:sz w:val="33"/>
          <w:szCs w:val="33"/>
        </w:rPr>
      </w:pPr>
      <w:r w:rsidRPr="00CF281E">
        <w:rPr>
          <w:rFonts w:ascii="標楷體" w:eastAsia="標楷體" w:hAnsi="標楷體" w:hint="eastAsia"/>
          <w:bCs w:val="0"/>
          <w:color w:val="FF0000"/>
          <w:sz w:val="33"/>
          <w:szCs w:val="33"/>
        </w:rPr>
        <w:t>慶辰法律事務所誠徵 研究助理(</w:t>
      </w:r>
      <w:r w:rsidRPr="00CF281E">
        <w:rPr>
          <w:rFonts w:ascii="標楷體" w:eastAsia="標楷體" w:hAnsi="標楷體"/>
          <w:bCs w:val="0"/>
          <w:color w:val="FF0000"/>
          <w:sz w:val="33"/>
          <w:szCs w:val="33"/>
        </w:rPr>
        <w:t>1</w:t>
      </w:r>
      <w:r w:rsidRPr="00CF281E">
        <w:rPr>
          <w:rFonts w:ascii="標楷體" w:eastAsia="標楷體" w:hAnsi="標楷體" w:hint="eastAsia"/>
          <w:bCs w:val="0"/>
          <w:color w:val="FF0000"/>
          <w:sz w:val="33"/>
          <w:szCs w:val="33"/>
        </w:rPr>
        <w:t>名)</w:t>
      </w:r>
      <w:bookmarkStart w:id="0" w:name="_GoBack"/>
      <w:bookmarkEnd w:id="0"/>
    </w:p>
    <w:p w:rsidR="00CF281E" w:rsidRPr="00CF281E" w:rsidRDefault="00CF281E" w:rsidP="00CF281E">
      <w:pPr>
        <w:pStyle w:val="2"/>
        <w:spacing w:before="0" w:beforeAutospacing="0" w:after="225" w:afterAutospacing="0" w:line="495" w:lineRule="atLeast"/>
        <w:rPr>
          <w:rFonts w:ascii="標楷體" w:eastAsia="標楷體" w:hAnsi="標楷體"/>
          <w:b w:val="0"/>
          <w:bCs w:val="0"/>
          <w:sz w:val="33"/>
          <w:szCs w:val="33"/>
        </w:rPr>
      </w:pPr>
      <w:r w:rsidRPr="00CF281E">
        <w:rPr>
          <w:rFonts w:ascii="標楷體" w:eastAsia="標楷體" w:hAnsi="標楷體"/>
          <w:b w:val="0"/>
          <w:bCs w:val="0"/>
          <w:sz w:val="33"/>
          <w:szCs w:val="33"/>
        </w:rPr>
        <w:t>公司簡介</w:t>
      </w:r>
    </w:p>
    <w:p w:rsidR="00CF281E" w:rsidRPr="00CF281E" w:rsidRDefault="00CF281E" w:rsidP="00CF281E">
      <w:pPr>
        <w:pStyle w:val="Web"/>
        <w:rPr>
          <w:rFonts w:ascii="標楷體" w:eastAsia="標楷體" w:hAnsi="標楷體"/>
        </w:rPr>
      </w:pPr>
      <w:r w:rsidRPr="00CF281E">
        <w:rPr>
          <w:rFonts w:ascii="標楷體" w:eastAsia="標楷體" w:hAnsi="標楷體"/>
        </w:rPr>
        <w:t>慶辰法律事務所的創立初衷在於成立一家以最卓越的專業能力為基礎的事務所，讓我們的客戶享有最優質又全面的商務法律服務，簡言之我們追求最好。近年來臺灣與大陸律師事務所一味以追求大為發展方向。這種潮流不是本所的目標。我們知道美國長期被評價為前兩名的律師事務所Wachtell與Cravath規模都不大，尤其是第一名的Wachtell大約僅有百人規模，但這完全無礙於其在業界之地位。因為這種事務所的律師都是全方位的人才(generalist)，有能力處理任何複雜案件。</w:t>
      </w:r>
      <w:r w:rsidRPr="00CF281E">
        <w:rPr>
          <w:rFonts w:ascii="標楷體" w:eastAsia="標楷體" w:hAnsi="標楷體"/>
        </w:rPr>
        <w:br/>
        <w:t>我們以為好的律師至少要符合以下四項能力：效率、溝通、投入與整合。優秀的律師要能在最短的時間內提出對客戶最有價值的服務，還要具備好的溝通能力，而這所謂的溝通不是單純的口語表達而已，而是有足夠的專業而可以做跨領域與跨國界溝通，且好的律師更需要有為客戶全心投入的人格特質。最後是要有整合能力，也就是在全球化的經貿環境中，律師思考問題不能僅著重在當地法律，而必須要有能力進行全球化之法律策略思考，並且更要懂得整合法律外之資源(例如商業與科技技術)。本所以能提供客戶符合以上四項標準之法律服務為當然要求。我們深信法律是一門專業，在口若懸河、筆燦蓮花的表面下其實有非常複雜的技術問題，事實上研究能力對於決定一位律師能力之良窳是最關鍵的因素之一。而過去臺灣的法律服務業者很少花精力去研究新的法律技術，也不會向客戶提供或解釋這些技術問題，使得客戶並無法確實了解到他到底得到了怎樣的服務，也無法進行有意義的損益分析與決策。本所引進美國的最新法律技術與案件管理技巧，對承辦的每個案件都會進行深入的研究，如同醫生提供醫療服務前，會向客戶做詳盡分析的作法，以及改變國內法律服務之品質，讓客戶得到應得之專業協助。</w:t>
      </w:r>
      <w:r w:rsidRPr="00CF281E">
        <w:rPr>
          <w:rFonts w:ascii="標楷體" w:eastAsia="標楷體" w:hAnsi="標楷體"/>
        </w:rPr>
        <w:br/>
        <w:t>最後，我們知道台灣未來的經濟發展必須要靠三件事：資本市場對產業的支持、知識經濟下的智慧財產權創造與管理、以及兩岸經貿交流。本所的發展就圍繞在這三點上。我們在這三個領域已有長期耕耘，能提供客戶整合性的法律服務。</w:t>
      </w:r>
    </w:p>
    <w:p w:rsidR="00CF281E" w:rsidRPr="00CF281E" w:rsidRDefault="00CF281E" w:rsidP="00CF281E">
      <w:pPr>
        <w:pStyle w:val="2"/>
        <w:spacing w:before="0" w:beforeAutospacing="0" w:after="225" w:afterAutospacing="0" w:line="495" w:lineRule="atLeast"/>
        <w:rPr>
          <w:rFonts w:ascii="標楷體" w:eastAsia="標楷體" w:hAnsi="標楷體"/>
          <w:b w:val="0"/>
          <w:bCs w:val="0"/>
          <w:sz w:val="33"/>
          <w:szCs w:val="33"/>
        </w:rPr>
      </w:pPr>
      <w:r w:rsidRPr="00CF281E">
        <w:rPr>
          <w:rFonts w:ascii="標楷體" w:eastAsia="標楷體" w:hAnsi="標楷體"/>
          <w:b w:val="0"/>
          <w:bCs w:val="0"/>
          <w:sz w:val="33"/>
          <w:szCs w:val="33"/>
        </w:rPr>
        <w:t>主要商品/服務項目</w:t>
      </w:r>
    </w:p>
    <w:p w:rsidR="00CF281E" w:rsidRDefault="00CF281E" w:rsidP="00CF281E">
      <w:pPr>
        <w:pStyle w:val="Web"/>
        <w:rPr>
          <w:rFonts w:ascii="標楷體" w:eastAsia="標楷體" w:hAnsi="標楷體"/>
        </w:rPr>
      </w:pPr>
      <w:r w:rsidRPr="00CF281E">
        <w:rPr>
          <w:rFonts w:ascii="標楷體" w:eastAsia="標楷體" w:hAnsi="標楷體"/>
        </w:rPr>
        <w:t>※一般公司法務</w:t>
      </w:r>
      <w:r w:rsidRPr="00CF281E">
        <w:rPr>
          <w:rFonts w:ascii="標楷體" w:eastAsia="標楷體" w:hAnsi="標楷體"/>
        </w:rPr>
        <w:br/>
        <w:t>※商業交易</w:t>
      </w:r>
      <w:r w:rsidRPr="00CF281E">
        <w:rPr>
          <w:rFonts w:ascii="標楷體" w:eastAsia="標楷體" w:hAnsi="標楷體"/>
        </w:rPr>
        <w:br/>
        <w:t>※資本市場與證券交易法</w:t>
      </w:r>
      <w:r w:rsidRPr="00CF281E">
        <w:rPr>
          <w:rFonts w:ascii="標楷體" w:eastAsia="標楷體" w:hAnsi="標楷體"/>
        </w:rPr>
        <w:br/>
        <w:t>※台灣與海外之投資申請與規劃</w:t>
      </w:r>
      <w:r w:rsidRPr="00CF281E">
        <w:rPr>
          <w:rFonts w:ascii="標楷體" w:eastAsia="標楷體" w:hAnsi="標楷體"/>
        </w:rPr>
        <w:br/>
        <w:t>※智慧財產權</w:t>
      </w:r>
    </w:p>
    <w:p w:rsidR="00CF281E" w:rsidRDefault="00CF281E" w:rsidP="00CF281E">
      <w:pPr>
        <w:pStyle w:val="Web"/>
        <w:rPr>
          <w:rFonts w:ascii="標楷體" w:eastAsia="標楷體" w:hAnsi="標楷體"/>
        </w:rPr>
      </w:pPr>
    </w:p>
    <w:p w:rsidR="00CF281E" w:rsidRPr="00CF281E" w:rsidRDefault="00CF281E" w:rsidP="00CF281E">
      <w:pPr>
        <w:pStyle w:val="Web"/>
        <w:rPr>
          <w:rFonts w:ascii="標楷體" w:eastAsia="標楷體" w:hAnsi="標楷體"/>
        </w:rPr>
      </w:pPr>
      <w:r w:rsidRPr="00CF281E">
        <w:rPr>
          <w:rFonts w:ascii="標楷體" w:eastAsia="標楷體" w:hAnsi="標楷體"/>
        </w:rPr>
        <w:lastRenderedPageBreak/>
        <w:t>產業領域：</w:t>
      </w:r>
      <w:r w:rsidRPr="00CF281E">
        <w:rPr>
          <w:rFonts w:ascii="標楷體" w:eastAsia="標楷體" w:hAnsi="標楷體"/>
        </w:rPr>
        <w:br/>
        <w:t>※金融產業</w:t>
      </w:r>
      <w:r w:rsidRPr="00CF281E">
        <w:rPr>
          <w:rFonts w:ascii="標楷體" w:eastAsia="標楷體" w:hAnsi="標楷體"/>
        </w:rPr>
        <w:br/>
        <w:t>※生物科技產業(醫療器材與醫藥產業)</w:t>
      </w:r>
      <w:r w:rsidRPr="00CF281E">
        <w:rPr>
          <w:rFonts w:ascii="標楷體" w:eastAsia="標楷體" w:hAnsi="標楷體"/>
        </w:rPr>
        <w:br/>
        <w:t>※電子產業</w:t>
      </w:r>
      <w:r w:rsidRPr="00CF281E">
        <w:rPr>
          <w:rFonts w:ascii="標楷體" w:eastAsia="標楷體" w:hAnsi="標楷體"/>
        </w:rPr>
        <w:br/>
        <w:t>※文創產業</w:t>
      </w:r>
    </w:p>
    <w:p w:rsidR="00CF281E" w:rsidRPr="00CF281E" w:rsidRDefault="00CF281E" w:rsidP="00CF281E">
      <w:pPr>
        <w:pStyle w:val="2"/>
        <w:spacing w:before="0" w:beforeAutospacing="0" w:after="225" w:afterAutospacing="0" w:line="495" w:lineRule="atLeast"/>
        <w:rPr>
          <w:rFonts w:ascii="標楷體" w:eastAsia="標楷體" w:hAnsi="標楷體"/>
          <w:b w:val="0"/>
          <w:bCs w:val="0"/>
          <w:sz w:val="33"/>
          <w:szCs w:val="33"/>
        </w:rPr>
      </w:pPr>
      <w:r w:rsidRPr="00CF281E">
        <w:rPr>
          <w:rFonts w:ascii="標楷體" w:eastAsia="標楷體" w:hAnsi="標楷體"/>
          <w:b w:val="0"/>
          <w:bCs w:val="0"/>
          <w:sz w:val="33"/>
          <w:szCs w:val="33"/>
        </w:rPr>
        <w:t>福利制度</w:t>
      </w:r>
    </w:p>
    <w:p w:rsidR="00CF281E" w:rsidRPr="00CF281E" w:rsidRDefault="00CF281E" w:rsidP="00CF281E">
      <w:pPr>
        <w:pStyle w:val="Web"/>
        <w:rPr>
          <w:rFonts w:ascii="標楷體" w:eastAsia="標楷體" w:hAnsi="標楷體"/>
        </w:rPr>
      </w:pPr>
      <w:r w:rsidRPr="00CF281E">
        <w:rPr>
          <w:rFonts w:ascii="標楷體" w:eastAsia="標楷體" w:hAnsi="標楷體"/>
        </w:rPr>
        <w:t>保險：</w:t>
      </w:r>
      <w:r w:rsidRPr="00CF281E">
        <w:rPr>
          <w:rFonts w:ascii="標楷體" w:eastAsia="標楷體" w:hAnsi="標楷體"/>
        </w:rPr>
        <w:br/>
        <w:t>依法享勞保、健保</w:t>
      </w:r>
      <w:r w:rsidRPr="00CF281E">
        <w:rPr>
          <w:rFonts w:ascii="標楷體" w:eastAsia="標楷體" w:hAnsi="標楷體"/>
        </w:rPr>
        <w:br/>
      </w:r>
      <w:r w:rsidRPr="00CF281E">
        <w:rPr>
          <w:rFonts w:ascii="標楷體" w:eastAsia="標楷體" w:hAnsi="標楷體"/>
        </w:rPr>
        <w:br/>
        <w:t>津貼、獎金：</w:t>
      </w:r>
      <w:r w:rsidRPr="00CF281E">
        <w:rPr>
          <w:rFonts w:ascii="標楷體" w:eastAsia="標楷體" w:hAnsi="標楷體"/>
        </w:rPr>
        <w:br/>
        <w:t>1.伙食津貼</w:t>
      </w:r>
      <w:r w:rsidRPr="00CF281E">
        <w:rPr>
          <w:rFonts w:ascii="標楷體" w:eastAsia="標楷體" w:hAnsi="標楷體"/>
        </w:rPr>
        <w:br/>
        <w:t>2.交通津貼</w:t>
      </w:r>
      <w:r w:rsidRPr="00CF281E">
        <w:rPr>
          <w:rFonts w:ascii="標楷體" w:eastAsia="標楷體" w:hAnsi="標楷體"/>
        </w:rPr>
        <w:br/>
        <w:t>3.年終獎金</w:t>
      </w:r>
      <w:r w:rsidRPr="00CF281E">
        <w:rPr>
          <w:rFonts w:ascii="標楷體" w:eastAsia="標楷體" w:hAnsi="標楷體"/>
        </w:rPr>
        <w:br/>
      </w:r>
      <w:r w:rsidRPr="00CF281E">
        <w:rPr>
          <w:rFonts w:ascii="標楷體" w:eastAsia="標楷體" w:hAnsi="標楷體"/>
        </w:rPr>
        <w:br/>
        <w:t>休假與福利：</w:t>
      </w:r>
      <w:r w:rsidRPr="00CF281E">
        <w:rPr>
          <w:rFonts w:ascii="標楷體" w:eastAsia="標楷體" w:hAnsi="標楷體"/>
        </w:rPr>
        <w:br/>
        <w:t>1.依勞基法規定</w:t>
      </w:r>
      <w:r w:rsidRPr="00CF281E">
        <w:rPr>
          <w:rFonts w:ascii="標楷體" w:eastAsia="標楷體" w:hAnsi="標楷體"/>
        </w:rPr>
        <w:br/>
        <w:t>2.年度旅遊</w:t>
      </w:r>
      <w:r w:rsidRPr="00CF281E">
        <w:rPr>
          <w:rFonts w:ascii="標楷體" w:eastAsia="標楷體" w:hAnsi="標楷體"/>
        </w:rPr>
        <w:br/>
        <w:t>3.不定期在職培訓、進修</w:t>
      </w:r>
    </w:p>
    <w:p w:rsidR="00CF281E" w:rsidRPr="00CF281E" w:rsidRDefault="00CF281E" w:rsidP="00CF281E">
      <w:pPr>
        <w:widowControl/>
        <w:spacing w:after="225" w:line="495" w:lineRule="atLeast"/>
        <w:outlineLvl w:val="1"/>
        <w:rPr>
          <w:rFonts w:ascii="標楷體" w:eastAsia="標楷體" w:hAnsi="標楷體" w:cs="新細明體"/>
          <w:kern w:val="0"/>
          <w:sz w:val="33"/>
          <w:szCs w:val="33"/>
        </w:rPr>
      </w:pPr>
      <w:r w:rsidRPr="00CF281E">
        <w:rPr>
          <w:rFonts w:ascii="標楷體" w:eastAsia="標楷體" w:hAnsi="標楷體" w:cs="新細明體"/>
          <w:kern w:val="0"/>
          <w:sz w:val="33"/>
          <w:szCs w:val="33"/>
        </w:rPr>
        <w:t>工作內容</w:t>
      </w:r>
    </w:p>
    <w:tbl>
      <w:tblPr>
        <w:tblW w:w="13022" w:type="dxa"/>
        <w:tblCellMar>
          <w:top w:w="15" w:type="dxa"/>
          <w:left w:w="15" w:type="dxa"/>
          <w:bottom w:w="15" w:type="dxa"/>
          <w:right w:w="15" w:type="dxa"/>
        </w:tblCellMar>
        <w:tblLook w:val="04A0" w:firstRow="1" w:lastRow="0" w:firstColumn="1" w:lastColumn="0" w:noHBand="0" w:noVBand="1"/>
      </w:tblPr>
      <w:tblGrid>
        <w:gridCol w:w="1360"/>
        <w:gridCol w:w="11662"/>
      </w:tblGrid>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職務性質</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兼職</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需求人數</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1人</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職類</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hint="eastAsia"/>
                <w:kern w:val="0"/>
                <w:szCs w:val="24"/>
              </w:rPr>
              <w:t>研究助理</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職務說明</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hint="eastAsia"/>
              </w:rPr>
              <w:t>論文編輯校對、文獻搜集整理、法律問題研究</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工作待遇</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hint="eastAsia"/>
                <w:kern w:val="0"/>
                <w:szCs w:val="24"/>
              </w:rPr>
              <w:t>日</w:t>
            </w:r>
            <w:r w:rsidRPr="00CF281E">
              <w:rPr>
                <w:rFonts w:ascii="標楷體" w:eastAsia="標楷體" w:hAnsi="標楷體" w:cs="新細明體"/>
                <w:kern w:val="0"/>
                <w:szCs w:val="24"/>
              </w:rPr>
              <w:t>薪 1,</w:t>
            </w:r>
            <w:r w:rsidRPr="00CF281E">
              <w:rPr>
                <w:rFonts w:ascii="標楷體" w:eastAsia="標楷體" w:hAnsi="標楷體" w:cs="新細明體" w:hint="eastAsia"/>
                <w:kern w:val="0"/>
                <w:szCs w:val="24"/>
              </w:rPr>
              <w:t>500</w:t>
            </w:r>
            <w:r w:rsidRPr="00CF281E">
              <w:rPr>
                <w:rFonts w:ascii="標楷體" w:eastAsia="標楷體" w:hAnsi="標楷體" w:cs="新細明體"/>
                <w:kern w:val="0"/>
                <w:szCs w:val="24"/>
              </w:rPr>
              <w:t>元  </w:t>
            </w:r>
            <w:r w:rsidRPr="00CF281E">
              <w:rPr>
                <w:rFonts w:ascii="標楷體" w:eastAsia="標楷體" w:hAnsi="標楷體" w:cs="新細明體" w:hint="eastAsia"/>
                <w:kern w:val="0"/>
                <w:szCs w:val="24"/>
              </w:rPr>
              <w:t>，</w:t>
            </w:r>
            <w:r w:rsidRPr="00CF281E">
              <w:rPr>
                <w:rFonts w:ascii="標楷體" w:eastAsia="標楷體" w:hAnsi="標楷體" w:hint="eastAsia"/>
              </w:rPr>
              <w:t>按每月實際到所日數支付</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上班地點</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台北市大安區信義路四段6號17樓之10  </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上班時段</w:t>
            </w:r>
          </w:p>
        </w:tc>
        <w:tc>
          <w:tcPr>
            <w:tcW w:w="0" w:type="auto"/>
            <w:tcMar>
              <w:top w:w="45" w:type="dxa"/>
              <w:left w:w="0" w:type="dxa"/>
              <w:bottom w:w="45" w:type="dxa"/>
              <w:right w:w="0" w:type="dxa"/>
            </w:tcMar>
            <w:hideMark/>
          </w:tcPr>
          <w:p w:rsidR="00CF281E" w:rsidRPr="00CF281E" w:rsidRDefault="00CF281E" w:rsidP="00CF281E">
            <w:pPr>
              <w:rPr>
                <w:rFonts w:ascii="標楷體" w:eastAsia="標楷體" w:hAnsi="標楷體"/>
              </w:rPr>
            </w:pPr>
            <w:r w:rsidRPr="00CF281E">
              <w:rPr>
                <w:rFonts w:ascii="標楷體" w:eastAsia="標楷體" w:hAnsi="標楷體" w:hint="eastAsia"/>
              </w:rPr>
              <w:t>每週工作一天（早上九點至下午五點半）</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休假制度</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假日</w:t>
            </w:r>
          </w:p>
        </w:tc>
      </w:tr>
      <w:tr w:rsidR="00CF281E" w:rsidRPr="00CF281E" w:rsidTr="00CF281E">
        <w:tc>
          <w:tcPr>
            <w:tcW w:w="1344"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可上班日</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二週內</w:t>
            </w:r>
          </w:p>
        </w:tc>
      </w:tr>
    </w:tbl>
    <w:p w:rsidR="00CF281E" w:rsidRPr="00CF281E" w:rsidRDefault="00CF281E" w:rsidP="00CF281E">
      <w:pPr>
        <w:widowControl/>
        <w:spacing w:after="225" w:line="495" w:lineRule="atLeast"/>
        <w:outlineLvl w:val="1"/>
        <w:rPr>
          <w:rFonts w:ascii="標楷體" w:eastAsia="標楷體" w:hAnsi="標楷體" w:cs="新細明體"/>
          <w:kern w:val="0"/>
          <w:sz w:val="33"/>
          <w:szCs w:val="33"/>
        </w:rPr>
      </w:pPr>
    </w:p>
    <w:p w:rsidR="00CF281E" w:rsidRPr="00CF281E" w:rsidRDefault="00CF281E" w:rsidP="00CF281E">
      <w:pPr>
        <w:widowControl/>
        <w:spacing w:after="225" w:line="495" w:lineRule="atLeast"/>
        <w:outlineLvl w:val="1"/>
        <w:rPr>
          <w:rFonts w:ascii="標楷體" w:eastAsia="標楷體" w:hAnsi="標楷體" w:cs="新細明體"/>
          <w:kern w:val="0"/>
          <w:sz w:val="33"/>
          <w:szCs w:val="33"/>
        </w:rPr>
      </w:pPr>
      <w:r w:rsidRPr="00CF281E">
        <w:rPr>
          <w:rFonts w:ascii="標楷體" w:eastAsia="標楷體" w:hAnsi="標楷體" w:cs="新細明體"/>
          <w:kern w:val="0"/>
          <w:sz w:val="33"/>
          <w:szCs w:val="33"/>
        </w:rPr>
        <w:lastRenderedPageBreak/>
        <w:t>工作條件</w:t>
      </w:r>
    </w:p>
    <w:tbl>
      <w:tblPr>
        <w:tblW w:w="13022" w:type="dxa"/>
        <w:tblCellMar>
          <w:top w:w="15" w:type="dxa"/>
          <w:left w:w="15" w:type="dxa"/>
          <w:bottom w:w="15" w:type="dxa"/>
          <w:right w:w="15" w:type="dxa"/>
        </w:tblCellMar>
        <w:tblLook w:val="04A0" w:firstRow="1" w:lastRow="0" w:firstColumn="1" w:lastColumn="0" w:noHBand="0" w:noVBand="1"/>
      </w:tblPr>
      <w:tblGrid>
        <w:gridCol w:w="1352"/>
        <w:gridCol w:w="11670"/>
      </w:tblGrid>
      <w:tr w:rsidR="00CF281E" w:rsidRPr="00CF281E" w:rsidTr="00CF281E">
        <w:tc>
          <w:tcPr>
            <w:tcW w:w="1336"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接受身份</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應屆畢業生、日間就讀中、夜間就讀中、學生實習</w:t>
            </w:r>
          </w:p>
        </w:tc>
      </w:tr>
      <w:tr w:rsidR="00CF281E" w:rsidRPr="00CF281E" w:rsidTr="00CF281E">
        <w:tc>
          <w:tcPr>
            <w:tcW w:w="1336"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工作經驗</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不拘</w:t>
            </w:r>
          </w:p>
        </w:tc>
      </w:tr>
      <w:tr w:rsidR="00CF281E" w:rsidRPr="00CF281E" w:rsidTr="00CF281E">
        <w:tc>
          <w:tcPr>
            <w:tcW w:w="1336"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學歷要求</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hint="eastAsia"/>
              </w:rPr>
              <w:t>碩博士研究生</w:t>
            </w:r>
          </w:p>
        </w:tc>
      </w:tr>
      <w:tr w:rsidR="00CF281E" w:rsidRPr="00CF281E" w:rsidTr="00CF281E">
        <w:tc>
          <w:tcPr>
            <w:tcW w:w="1336"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科系要求</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hint="eastAsia"/>
              </w:rPr>
              <w:t>法研所</w:t>
            </w:r>
          </w:p>
        </w:tc>
      </w:tr>
      <w:tr w:rsidR="00CF281E" w:rsidRPr="00CF281E" w:rsidTr="00CF281E">
        <w:tc>
          <w:tcPr>
            <w:tcW w:w="1336"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其他條件</w:t>
            </w:r>
          </w:p>
        </w:tc>
        <w:tc>
          <w:tcPr>
            <w:tcW w:w="0" w:type="auto"/>
            <w:tcMar>
              <w:top w:w="45" w:type="dxa"/>
              <w:left w:w="0" w:type="dxa"/>
              <w:bottom w:w="45" w:type="dxa"/>
              <w:right w:w="0" w:type="dxa"/>
            </w:tcMar>
            <w:hideMark/>
          </w:tcPr>
          <w:p w:rsidR="00CF281E" w:rsidRPr="00CF281E" w:rsidRDefault="00CF281E" w:rsidP="00CF281E">
            <w:pPr>
              <w:pStyle w:val="a4"/>
              <w:widowControl/>
              <w:numPr>
                <w:ilvl w:val="0"/>
                <w:numId w:val="2"/>
              </w:numPr>
              <w:wordWrap w:val="0"/>
              <w:ind w:leftChars="0"/>
              <w:rPr>
                <w:rFonts w:ascii="標楷體" w:eastAsia="標楷體" w:hAnsi="標楷體" w:cs="新細明體"/>
                <w:kern w:val="0"/>
                <w:szCs w:val="24"/>
              </w:rPr>
            </w:pPr>
            <w:r w:rsidRPr="00CF281E">
              <w:rPr>
                <w:rFonts w:ascii="標楷體" w:eastAsia="標楷體" w:hAnsi="標楷體" w:hint="eastAsia"/>
              </w:rPr>
              <w:t>對學術研究有熱誠者</w:t>
            </w:r>
            <w:r w:rsidRPr="00CF281E">
              <w:rPr>
                <w:rFonts w:ascii="標楷體" w:eastAsia="標楷體" w:hAnsi="標楷體" w:cs="新細明體"/>
                <w:kern w:val="0"/>
                <w:szCs w:val="24"/>
              </w:rPr>
              <w:t> </w:t>
            </w:r>
          </w:p>
          <w:p w:rsidR="00CF281E" w:rsidRPr="00CF281E" w:rsidRDefault="00CF281E" w:rsidP="00CF281E">
            <w:pPr>
              <w:pStyle w:val="a4"/>
              <w:widowControl/>
              <w:numPr>
                <w:ilvl w:val="0"/>
                <w:numId w:val="2"/>
              </w:numPr>
              <w:wordWrap w:val="0"/>
              <w:ind w:leftChars="0"/>
              <w:rPr>
                <w:rFonts w:ascii="標楷體" w:eastAsia="標楷體" w:hAnsi="標楷體" w:cs="新細明體"/>
                <w:kern w:val="0"/>
                <w:szCs w:val="24"/>
              </w:rPr>
            </w:pPr>
            <w:r w:rsidRPr="00CF281E">
              <w:rPr>
                <w:rFonts w:ascii="標楷體" w:eastAsia="標楷體" w:hAnsi="標楷體" w:hint="eastAsia"/>
              </w:rPr>
              <w:t>有意願者請提供簡歷與writing sample，寄至：</w:t>
            </w:r>
            <w:hyperlink r:id="rId7" w:history="1">
              <w:r w:rsidRPr="00CF281E">
                <w:rPr>
                  <w:rStyle w:val="a3"/>
                  <w:rFonts w:ascii="標楷體" w:eastAsia="標楷體" w:hAnsi="標楷體" w:hint="eastAsia"/>
                </w:rPr>
                <w:t>james_hou@chingcheng-law.com</w:t>
              </w:r>
            </w:hyperlink>
          </w:p>
        </w:tc>
      </w:tr>
    </w:tbl>
    <w:p w:rsidR="00CF281E" w:rsidRPr="00CF281E" w:rsidRDefault="00CF281E" w:rsidP="00CF281E">
      <w:pPr>
        <w:widowControl/>
        <w:spacing w:after="225" w:line="495" w:lineRule="atLeast"/>
        <w:outlineLvl w:val="1"/>
        <w:rPr>
          <w:rFonts w:ascii="標楷體" w:eastAsia="標楷體" w:hAnsi="標楷體" w:cs="新細明體"/>
          <w:kern w:val="0"/>
          <w:sz w:val="33"/>
          <w:szCs w:val="33"/>
        </w:rPr>
      </w:pPr>
      <w:r w:rsidRPr="00CF281E">
        <w:rPr>
          <w:rFonts w:ascii="標楷體" w:eastAsia="標楷體" w:hAnsi="標楷體" w:cs="新細明體"/>
          <w:kern w:val="0"/>
          <w:sz w:val="33"/>
          <w:szCs w:val="33"/>
        </w:rPr>
        <w:t>應徵方式</w:t>
      </w:r>
    </w:p>
    <w:tbl>
      <w:tblPr>
        <w:tblW w:w="13022" w:type="dxa"/>
        <w:tblCellMar>
          <w:top w:w="15" w:type="dxa"/>
          <w:left w:w="15" w:type="dxa"/>
          <w:bottom w:w="15" w:type="dxa"/>
          <w:right w:w="15" w:type="dxa"/>
        </w:tblCellMar>
        <w:tblLook w:val="04A0" w:firstRow="1" w:lastRow="0" w:firstColumn="1" w:lastColumn="0" w:noHBand="0" w:noVBand="1"/>
      </w:tblPr>
      <w:tblGrid>
        <w:gridCol w:w="1352"/>
        <w:gridCol w:w="11670"/>
      </w:tblGrid>
      <w:tr w:rsidR="00CF281E" w:rsidRPr="00CF281E" w:rsidTr="00CF281E">
        <w:tc>
          <w:tcPr>
            <w:tcW w:w="1336"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職務聯絡人</w:t>
            </w:r>
          </w:p>
        </w:tc>
        <w:tc>
          <w:tcPr>
            <w:tcW w:w="0" w:type="auto"/>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hint="eastAsia"/>
                <w:kern w:val="0"/>
                <w:szCs w:val="24"/>
              </w:rPr>
              <w:t>侯律師</w:t>
            </w:r>
          </w:p>
        </w:tc>
      </w:tr>
      <w:tr w:rsidR="00CF281E" w:rsidRPr="00CF281E" w:rsidTr="00CF281E">
        <w:tc>
          <w:tcPr>
            <w:tcW w:w="1336" w:type="dxa"/>
            <w:noWrap/>
            <w:tcMar>
              <w:top w:w="45" w:type="dxa"/>
              <w:left w:w="0" w:type="dxa"/>
              <w:bottom w:w="45" w:type="dxa"/>
              <w:right w:w="0" w:type="dxa"/>
            </w:tcMar>
            <w:hideMark/>
          </w:tcPr>
          <w:p w:rsidR="00CF281E" w:rsidRPr="00CF281E" w:rsidRDefault="00CF281E" w:rsidP="00CF281E">
            <w:pPr>
              <w:widowControl/>
              <w:wordWrap w:val="0"/>
              <w:rPr>
                <w:rFonts w:ascii="標楷體" w:eastAsia="標楷體" w:hAnsi="標楷體" w:cs="新細明體"/>
                <w:kern w:val="0"/>
                <w:szCs w:val="24"/>
              </w:rPr>
            </w:pPr>
            <w:r w:rsidRPr="00CF281E">
              <w:rPr>
                <w:rFonts w:ascii="標楷體" w:eastAsia="標楷體" w:hAnsi="標楷體" w:cs="新細明體"/>
                <w:kern w:val="0"/>
                <w:szCs w:val="24"/>
              </w:rPr>
              <w:t>職務E-mail</w:t>
            </w:r>
          </w:p>
        </w:tc>
        <w:tc>
          <w:tcPr>
            <w:tcW w:w="0" w:type="auto"/>
            <w:tcMar>
              <w:top w:w="45" w:type="dxa"/>
              <w:left w:w="0" w:type="dxa"/>
              <w:bottom w:w="45" w:type="dxa"/>
              <w:right w:w="0" w:type="dxa"/>
            </w:tcMar>
            <w:hideMark/>
          </w:tcPr>
          <w:p w:rsidR="00CF281E" w:rsidRPr="00CF281E" w:rsidRDefault="00E15C33" w:rsidP="00CF281E">
            <w:pPr>
              <w:widowControl/>
              <w:wordWrap w:val="0"/>
              <w:rPr>
                <w:rFonts w:ascii="標楷體" w:eastAsia="標楷體" w:hAnsi="標楷體" w:cs="新細明體"/>
                <w:kern w:val="0"/>
                <w:szCs w:val="24"/>
              </w:rPr>
            </w:pPr>
            <w:hyperlink r:id="rId8" w:history="1">
              <w:r w:rsidR="00CF281E" w:rsidRPr="00CF281E">
                <w:rPr>
                  <w:rStyle w:val="a3"/>
                  <w:rFonts w:ascii="標楷體" w:eastAsia="標楷體" w:hAnsi="標楷體" w:cs="新細明體"/>
                  <w:kern w:val="0"/>
                  <w:szCs w:val="24"/>
                </w:rPr>
                <w:t>james_hou@chingcheng-law.com</w:t>
              </w:r>
            </w:hyperlink>
          </w:p>
          <w:p w:rsidR="00CF281E" w:rsidRPr="00CF281E" w:rsidRDefault="00CF281E" w:rsidP="00CF281E">
            <w:pPr>
              <w:widowControl/>
              <w:wordWrap w:val="0"/>
              <w:rPr>
                <w:rFonts w:ascii="標楷體" w:eastAsia="標楷體" w:hAnsi="標楷體" w:cs="新細明體"/>
                <w:kern w:val="0"/>
                <w:szCs w:val="24"/>
              </w:rPr>
            </w:pPr>
          </w:p>
        </w:tc>
      </w:tr>
    </w:tbl>
    <w:p w:rsidR="00D57147" w:rsidRDefault="00D57147"/>
    <w:p w:rsidR="00CF281E" w:rsidRDefault="00CF281E"/>
    <w:p w:rsidR="00CF281E" w:rsidRDefault="00CF281E" w:rsidP="00CF281E"/>
    <w:p w:rsidR="00CF281E" w:rsidRDefault="00CF281E" w:rsidP="00CF281E"/>
    <w:p w:rsidR="00CF281E" w:rsidRDefault="00CF281E" w:rsidP="00CF281E"/>
    <w:p w:rsidR="00CF281E" w:rsidRDefault="00CF281E" w:rsidP="00CF281E"/>
    <w:p w:rsidR="00CF281E" w:rsidRDefault="00CF281E"/>
    <w:sectPr w:rsidR="00CF281E" w:rsidSect="00CF28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33" w:rsidRDefault="00E15C33" w:rsidP="005C35DB">
      <w:r>
        <w:separator/>
      </w:r>
    </w:p>
  </w:endnote>
  <w:endnote w:type="continuationSeparator" w:id="0">
    <w:p w:rsidR="00E15C33" w:rsidRDefault="00E15C33" w:rsidP="005C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33" w:rsidRDefault="00E15C33" w:rsidP="005C35DB">
      <w:r>
        <w:separator/>
      </w:r>
    </w:p>
  </w:footnote>
  <w:footnote w:type="continuationSeparator" w:id="0">
    <w:p w:rsidR="00E15C33" w:rsidRDefault="00E15C33" w:rsidP="005C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7330"/>
    <w:multiLevelType w:val="multilevel"/>
    <w:tmpl w:val="6C2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E1EA7"/>
    <w:multiLevelType w:val="hybridMultilevel"/>
    <w:tmpl w:val="B08C879A"/>
    <w:lvl w:ilvl="0" w:tplc="A218D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5C35DB"/>
    <w:rsid w:val="00CF281E"/>
    <w:rsid w:val="00D57147"/>
    <w:rsid w:val="00E15C33"/>
    <w:rsid w:val="00E25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1BBC57-D32F-48D7-A1E3-5B2B6CB7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CF281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F281E"/>
    <w:rPr>
      <w:rFonts w:ascii="新細明體" w:eastAsia="新細明體" w:hAnsi="新細明體" w:cs="新細明體"/>
      <w:b/>
      <w:bCs/>
      <w:kern w:val="0"/>
      <w:sz w:val="36"/>
      <w:szCs w:val="36"/>
    </w:rPr>
  </w:style>
  <w:style w:type="character" w:styleId="a3">
    <w:name w:val="Hyperlink"/>
    <w:basedOn w:val="a0"/>
    <w:uiPriority w:val="99"/>
    <w:unhideWhenUsed/>
    <w:rsid w:val="00CF281E"/>
    <w:rPr>
      <w:color w:val="0000FF"/>
      <w:u w:val="single"/>
    </w:rPr>
  </w:style>
  <w:style w:type="paragraph" w:styleId="Web">
    <w:name w:val="Normal (Web)"/>
    <w:basedOn w:val="a"/>
    <w:uiPriority w:val="99"/>
    <w:unhideWhenUsed/>
    <w:rsid w:val="00CF281E"/>
    <w:pPr>
      <w:widowControl/>
      <w:spacing w:before="100" w:beforeAutospacing="1" w:after="100" w:afterAutospacing="1"/>
    </w:pPr>
    <w:rPr>
      <w:rFonts w:ascii="新細明體" w:eastAsia="新細明體" w:hAnsi="新細明體" w:cs="新細明體"/>
      <w:kern w:val="0"/>
      <w:szCs w:val="24"/>
    </w:rPr>
  </w:style>
  <w:style w:type="character" w:customStyle="1" w:styleId="UnresolvedMention">
    <w:name w:val="Unresolved Mention"/>
    <w:basedOn w:val="a0"/>
    <w:uiPriority w:val="99"/>
    <w:semiHidden/>
    <w:unhideWhenUsed/>
    <w:rsid w:val="00CF281E"/>
    <w:rPr>
      <w:color w:val="808080"/>
      <w:shd w:val="clear" w:color="auto" w:fill="E6E6E6"/>
    </w:rPr>
  </w:style>
  <w:style w:type="paragraph" w:styleId="a4">
    <w:name w:val="List Paragraph"/>
    <w:basedOn w:val="a"/>
    <w:uiPriority w:val="34"/>
    <w:qFormat/>
    <w:rsid w:val="00CF281E"/>
    <w:pPr>
      <w:ind w:leftChars="200" w:left="480"/>
    </w:pPr>
  </w:style>
  <w:style w:type="paragraph" w:styleId="a5">
    <w:name w:val="header"/>
    <w:basedOn w:val="a"/>
    <w:link w:val="a6"/>
    <w:uiPriority w:val="99"/>
    <w:unhideWhenUsed/>
    <w:rsid w:val="005C35DB"/>
    <w:pPr>
      <w:tabs>
        <w:tab w:val="center" w:pos="4153"/>
        <w:tab w:val="right" w:pos="8306"/>
      </w:tabs>
      <w:snapToGrid w:val="0"/>
    </w:pPr>
    <w:rPr>
      <w:sz w:val="20"/>
      <w:szCs w:val="20"/>
    </w:rPr>
  </w:style>
  <w:style w:type="character" w:customStyle="1" w:styleId="a6">
    <w:name w:val="頁首 字元"/>
    <w:basedOn w:val="a0"/>
    <w:link w:val="a5"/>
    <w:uiPriority w:val="99"/>
    <w:rsid w:val="005C35DB"/>
    <w:rPr>
      <w:sz w:val="20"/>
      <w:szCs w:val="20"/>
    </w:rPr>
  </w:style>
  <w:style w:type="paragraph" w:styleId="a7">
    <w:name w:val="footer"/>
    <w:basedOn w:val="a"/>
    <w:link w:val="a8"/>
    <w:uiPriority w:val="99"/>
    <w:unhideWhenUsed/>
    <w:rsid w:val="005C35DB"/>
    <w:pPr>
      <w:tabs>
        <w:tab w:val="center" w:pos="4153"/>
        <w:tab w:val="right" w:pos="8306"/>
      </w:tabs>
      <w:snapToGrid w:val="0"/>
    </w:pPr>
    <w:rPr>
      <w:sz w:val="20"/>
      <w:szCs w:val="20"/>
    </w:rPr>
  </w:style>
  <w:style w:type="character" w:customStyle="1" w:styleId="a8">
    <w:name w:val="頁尾 字元"/>
    <w:basedOn w:val="a0"/>
    <w:link w:val="a7"/>
    <w:uiPriority w:val="99"/>
    <w:rsid w:val="005C35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45442">
      <w:bodyDiv w:val="1"/>
      <w:marLeft w:val="0"/>
      <w:marRight w:val="0"/>
      <w:marTop w:val="0"/>
      <w:marBottom w:val="0"/>
      <w:divBdr>
        <w:top w:val="none" w:sz="0" w:space="0" w:color="auto"/>
        <w:left w:val="none" w:sz="0" w:space="0" w:color="auto"/>
        <w:bottom w:val="none" w:sz="0" w:space="0" w:color="auto"/>
        <w:right w:val="none" w:sz="0" w:space="0" w:color="auto"/>
      </w:divBdr>
    </w:div>
    <w:div w:id="2078278969">
      <w:bodyDiv w:val="1"/>
      <w:marLeft w:val="0"/>
      <w:marRight w:val="0"/>
      <w:marTop w:val="0"/>
      <w:marBottom w:val="0"/>
      <w:divBdr>
        <w:top w:val="none" w:sz="0" w:space="0" w:color="auto"/>
        <w:left w:val="none" w:sz="0" w:space="0" w:color="auto"/>
        <w:bottom w:val="none" w:sz="0" w:space="0" w:color="auto"/>
        <w:right w:val="none" w:sz="0" w:space="0" w:color="auto"/>
      </w:divBdr>
    </w:div>
    <w:div w:id="20861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_hou@chingcheng-law.com" TargetMode="External"/><Relationship Id="rId3" Type="http://schemas.openxmlformats.org/officeDocument/2006/relationships/settings" Target="settings.xml"/><Relationship Id="rId7" Type="http://schemas.openxmlformats.org/officeDocument/2006/relationships/hyperlink" Target="mailto:james_hou@chingcheng-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Hsin</dc:creator>
  <cp:keywords/>
  <dc:description/>
  <cp:lastModifiedBy>user</cp:lastModifiedBy>
  <cp:revision>2</cp:revision>
  <dcterms:created xsi:type="dcterms:W3CDTF">2017-10-16T09:00:00Z</dcterms:created>
  <dcterms:modified xsi:type="dcterms:W3CDTF">2017-10-16T09:00:00Z</dcterms:modified>
</cp:coreProperties>
</file>