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06" w:rsidRPr="00461B29" w:rsidRDefault="00026043" w:rsidP="00026043">
      <w:pPr>
        <w:spacing w:beforeLines="100" w:before="360" w:afterLines="150" w:after="540" w:line="600" w:lineRule="exact"/>
        <w:jc w:val="center"/>
        <w:rPr>
          <w:rFonts w:ascii="華康粗黑體" w:eastAsia="華康粗黑體" w:hAnsi="標楷體"/>
          <w:w w:val="90"/>
          <w:sz w:val="34"/>
          <w:szCs w:val="34"/>
        </w:rPr>
      </w:pPr>
      <w:r>
        <w:rPr>
          <w:rFonts w:eastAsia="華康粗黑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152400</wp:posOffset>
                </wp:positionV>
                <wp:extent cx="3060700" cy="617855"/>
                <wp:effectExtent l="6985" t="952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6178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9.55pt;margin-top:12pt;width:241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" filled="f" strokeweight=".25pt"/>
            </w:pict>
          </mc:Fallback>
        </mc:AlternateContent>
      </w:r>
      <w:r w:rsidR="006B7B06" w:rsidRPr="00D97DC3">
        <w:rPr>
          <w:rFonts w:eastAsia="華康粗黑體"/>
          <w:w w:val="90"/>
          <w:sz w:val="34"/>
          <w:szCs w:val="34"/>
        </w:rPr>
        <w:t>201</w:t>
      </w:r>
      <w:r w:rsidR="006B7B06">
        <w:rPr>
          <w:rFonts w:eastAsia="華康粗黑體" w:hint="eastAsia"/>
          <w:w w:val="90"/>
          <w:sz w:val="34"/>
          <w:szCs w:val="34"/>
        </w:rPr>
        <w:t>7</w:t>
      </w:r>
      <w:r w:rsidR="006B7B06" w:rsidRPr="00461B29">
        <w:rPr>
          <w:rFonts w:ascii="華康粗黑體" w:eastAsia="華康粗黑體" w:hAnsi="標楷體" w:hint="eastAsia"/>
          <w:w w:val="90"/>
          <w:sz w:val="34"/>
          <w:szCs w:val="34"/>
        </w:rPr>
        <w:t>年特刊</w:t>
      </w:r>
      <w:r w:rsidR="006B7B06">
        <w:rPr>
          <w:rFonts w:ascii="華康粗黑體" w:eastAsia="華康粗黑體" w:hAnsi="標楷體" w:hint="eastAsia"/>
          <w:w w:val="90"/>
          <w:sz w:val="34"/>
          <w:szCs w:val="34"/>
        </w:rPr>
        <w:t>主題論文</w:t>
      </w:r>
      <w:r w:rsidR="006B7B06" w:rsidRPr="00461B29">
        <w:rPr>
          <w:rFonts w:ascii="華康粗黑體" w:eastAsia="華康粗黑體" w:hAnsi="標楷體" w:hint="eastAsia"/>
          <w:w w:val="90"/>
          <w:sz w:val="34"/>
          <w:szCs w:val="34"/>
        </w:rPr>
        <w:t>徵稿</w:t>
      </w:r>
      <w:bookmarkStart w:id="0" w:name="_GoBack"/>
      <w:bookmarkEnd w:id="0"/>
      <w:r w:rsidR="006B7B06" w:rsidRPr="00461B29">
        <w:rPr>
          <w:rFonts w:ascii="華康粗黑體" w:eastAsia="華康粗黑體" w:hAnsi="標楷體" w:hint="eastAsia"/>
          <w:w w:val="90"/>
          <w:sz w:val="34"/>
          <w:szCs w:val="34"/>
        </w:rPr>
        <w:t>啟事</w:t>
      </w:r>
    </w:p>
    <w:p w:rsidR="006B7B06" w:rsidRPr="0059793C" w:rsidRDefault="006B7B06" w:rsidP="00026043">
      <w:pPr>
        <w:overflowPunct w:val="0"/>
        <w:spacing w:line="360" w:lineRule="exact"/>
        <w:ind w:firstLineChars="200" w:firstLine="400"/>
        <w:jc w:val="both"/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</w:pPr>
      <w:proofErr w:type="gramStart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本刊擬於</w:t>
      </w:r>
      <w:proofErr w:type="gramEnd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201</w:t>
      </w:r>
      <w:r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7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年</w:t>
      </w:r>
      <w:r w:rsidR="00026043">
        <w:rPr>
          <w:rFonts w:eastAsia="華康中明體" w:hint="eastAsia"/>
          <w:color w:val="000000"/>
          <w:kern w:val="0"/>
          <w:sz w:val="20"/>
          <w:szCs w:val="20"/>
          <w:shd w:val="clear" w:color="auto" w:fill="FFFFFF"/>
        </w:rPr>
        <w:t>10-11</w:t>
      </w:r>
      <w:r w:rsidR="009A46A6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月間發行特刊，並以</w:t>
      </w:r>
      <w:r w:rsidR="009A46A6" w:rsidRPr="009A46A6">
        <w:rPr>
          <w:rFonts w:eastAsia="華康中明體" w:hint="eastAsia"/>
          <w:color w:val="000000"/>
          <w:kern w:val="0"/>
          <w:sz w:val="20"/>
          <w:szCs w:val="20"/>
          <w:shd w:val="clear" w:color="auto" w:fill="FFFFFF"/>
        </w:rPr>
        <w:t>「多元法律體系的挑戰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」為主題，徵求論文。</w:t>
      </w:r>
    </w:p>
    <w:p w:rsidR="009A46A6" w:rsidRPr="009A46A6" w:rsidRDefault="00E33069" w:rsidP="00026043">
      <w:pPr>
        <w:overflowPunct w:val="0"/>
        <w:spacing w:line="360" w:lineRule="exact"/>
        <w:ind w:firstLineChars="203" w:firstLine="406"/>
        <w:jc w:val="both"/>
        <w:rPr>
          <w:rFonts w:eastAsia="華康中明體"/>
          <w:color w:val="000000"/>
          <w:kern w:val="0"/>
          <w:sz w:val="20"/>
          <w:szCs w:val="20"/>
        </w:rPr>
      </w:pPr>
      <w:r>
        <w:rPr>
          <w:rFonts w:eastAsia="華康中明體" w:hint="eastAsia"/>
          <w:color w:val="000000"/>
          <w:kern w:val="0"/>
          <w:sz w:val="20"/>
          <w:szCs w:val="20"/>
        </w:rPr>
        <w:t>現代民主立憲國家，</w:t>
      </w:r>
      <w:r w:rsidR="00B07410" w:rsidRPr="009A46A6">
        <w:rPr>
          <w:rFonts w:eastAsia="華康中明體" w:hint="eastAsia"/>
          <w:color w:val="000000"/>
          <w:kern w:val="0"/>
          <w:sz w:val="20"/>
          <w:szCs w:val="20"/>
        </w:rPr>
        <w:t>以主權國家為空間單元</w:t>
      </w:r>
      <w:r w:rsidR="00B07410">
        <w:rPr>
          <w:rFonts w:eastAsia="華康中明體" w:hint="eastAsia"/>
          <w:color w:val="000000"/>
          <w:kern w:val="0"/>
          <w:sz w:val="20"/>
          <w:szCs w:val="20"/>
        </w:rPr>
        <w:t>，以</w:t>
      </w:r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憲法作為</w:t>
      </w:r>
      <w:r>
        <w:rPr>
          <w:rFonts w:eastAsia="華康中明體" w:hint="eastAsia"/>
          <w:color w:val="000000"/>
          <w:kern w:val="0"/>
          <w:sz w:val="20"/>
          <w:szCs w:val="20"/>
        </w:rPr>
        <w:t>最高位階實證法規範</w:t>
      </w:r>
      <w:r w:rsidR="00B07410">
        <w:rPr>
          <w:rFonts w:eastAsia="華康中明體" w:hint="eastAsia"/>
          <w:color w:val="000000"/>
          <w:kern w:val="0"/>
          <w:sz w:val="20"/>
          <w:szCs w:val="20"/>
        </w:rPr>
        <w:t>所</w:t>
      </w:r>
      <w:r>
        <w:rPr>
          <w:rFonts w:eastAsia="華康中明體" w:hint="eastAsia"/>
          <w:color w:val="000000"/>
          <w:kern w:val="0"/>
          <w:sz w:val="20"/>
          <w:szCs w:val="20"/>
        </w:rPr>
        <w:t>建構</w:t>
      </w:r>
      <w:r w:rsidR="00B07410">
        <w:rPr>
          <w:rFonts w:eastAsia="華康中明體" w:hint="eastAsia"/>
          <w:color w:val="000000"/>
          <w:kern w:val="0"/>
          <w:sz w:val="20"/>
          <w:szCs w:val="20"/>
        </w:rPr>
        <w:t>而成</w:t>
      </w:r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的單極法律體系</w:t>
      </w:r>
      <w:r w:rsidR="00B07410">
        <w:rPr>
          <w:rFonts w:eastAsia="華康中明體" w:hint="eastAsia"/>
          <w:color w:val="000000"/>
          <w:kern w:val="0"/>
          <w:sz w:val="20"/>
          <w:szCs w:val="20"/>
        </w:rPr>
        <w:t>，</w:t>
      </w:r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近來已逐漸遭到多元法律體系的挑</w:t>
      </w:r>
      <w:r w:rsidR="009D4B17">
        <w:rPr>
          <w:rFonts w:eastAsia="華康中明體" w:hint="eastAsia"/>
          <w:color w:val="000000"/>
          <w:kern w:val="0"/>
          <w:sz w:val="20"/>
          <w:szCs w:val="20"/>
        </w:rPr>
        <w:t>戰。所謂多元法律體系</w:t>
      </w:r>
      <w:r w:rsidR="00B07410">
        <w:rPr>
          <w:rFonts w:eastAsia="華康中明體" w:hint="eastAsia"/>
          <w:color w:val="000000"/>
          <w:kern w:val="0"/>
          <w:sz w:val="20"/>
          <w:szCs w:val="20"/>
        </w:rPr>
        <w:t>，不僅</w:t>
      </w:r>
      <w:r>
        <w:rPr>
          <w:rFonts w:eastAsia="華康中明體" w:hint="eastAsia"/>
          <w:color w:val="000000"/>
          <w:kern w:val="0"/>
          <w:sz w:val="20"/>
          <w:szCs w:val="20"/>
        </w:rPr>
        <w:t>是指法規範來源的多元化，如</w:t>
      </w:r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國際法規範之進入內國法；也包括法規範之權威性（合法性）及正當性的多元化，如</w:t>
      </w:r>
      <w:proofErr w:type="gramStart"/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原住民族法</w:t>
      </w:r>
      <w:proofErr w:type="gramEnd"/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、宗教法的出現。至於多元法律體系的位階，有可能是和國家法平行的法體系（如國際法），也可能是原本國家法體系內部的多元、次級體系，如</w:t>
      </w:r>
      <w:proofErr w:type="gramStart"/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原住民族法</w:t>
      </w:r>
      <w:proofErr w:type="gramEnd"/>
      <w:r w:rsidR="009A46A6" w:rsidRPr="009A46A6">
        <w:rPr>
          <w:rFonts w:eastAsia="華康中明體" w:hint="eastAsia"/>
          <w:color w:val="000000"/>
          <w:kern w:val="0"/>
          <w:sz w:val="20"/>
          <w:szCs w:val="20"/>
        </w:rPr>
        <w:t>、宗教法等。</w:t>
      </w:r>
      <w:r w:rsidR="009D4B17">
        <w:rPr>
          <w:rFonts w:eastAsia="華康中明體"/>
          <w:color w:val="000000"/>
          <w:kern w:val="0"/>
          <w:sz w:val="20"/>
          <w:szCs w:val="20"/>
        </w:rPr>
        <w:t>此等</w:t>
      </w:r>
      <w:r w:rsidR="009D4B17" w:rsidRPr="009A46A6">
        <w:rPr>
          <w:rFonts w:eastAsia="華康中明體" w:hint="eastAsia"/>
          <w:color w:val="000000"/>
          <w:kern w:val="0"/>
          <w:sz w:val="20"/>
          <w:szCs w:val="20"/>
        </w:rPr>
        <w:t>「非以國家法為</w:t>
      </w:r>
      <w:r w:rsidR="009D4B17">
        <w:rPr>
          <w:rFonts w:eastAsia="華康中明體" w:hint="eastAsia"/>
          <w:color w:val="000000"/>
          <w:kern w:val="0"/>
          <w:sz w:val="20"/>
          <w:szCs w:val="20"/>
        </w:rPr>
        <w:t>來源，非國家自主並終極決定」的異質法律規範，</w:t>
      </w:r>
      <w:r w:rsidR="009D4B17" w:rsidRPr="009A46A6">
        <w:rPr>
          <w:rFonts w:eastAsia="華康中明體" w:hint="eastAsia"/>
          <w:color w:val="000000"/>
          <w:kern w:val="0"/>
          <w:sz w:val="20"/>
          <w:szCs w:val="20"/>
        </w:rPr>
        <w:t>形成多元法律體系</w:t>
      </w:r>
      <w:r w:rsidR="009D4B17">
        <w:rPr>
          <w:rFonts w:eastAsia="華康中明體" w:hint="eastAsia"/>
          <w:color w:val="000000"/>
          <w:kern w:val="0"/>
          <w:sz w:val="20"/>
          <w:szCs w:val="20"/>
        </w:rPr>
        <w:t>現象</w:t>
      </w:r>
      <w:r w:rsidR="009D4B17" w:rsidRPr="009A46A6">
        <w:rPr>
          <w:rFonts w:eastAsia="華康中明體" w:hint="eastAsia"/>
          <w:color w:val="000000"/>
          <w:kern w:val="0"/>
          <w:sz w:val="20"/>
          <w:szCs w:val="20"/>
        </w:rPr>
        <w:t>。</w:t>
      </w:r>
    </w:p>
    <w:p w:rsidR="009A46A6" w:rsidRDefault="009A46A6" w:rsidP="00026043">
      <w:pPr>
        <w:overflowPunct w:val="0"/>
        <w:spacing w:line="360" w:lineRule="exact"/>
        <w:ind w:firstLineChars="203" w:firstLine="406"/>
        <w:jc w:val="both"/>
        <w:rPr>
          <w:rFonts w:eastAsia="華康中明體"/>
          <w:color w:val="000000"/>
          <w:kern w:val="0"/>
          <w:sz w:val="20"/>
          <w:szCs w:val="20"/>
        </w:rPr>
      </w:pPr>
      <w:r w:rsidRPr="009A46A6">
        <w:rPr>
          <w:rFonts w:eastAsia="華康中明體" w:hint="eastAsia"/>
          <w:color w:val="000000"/>
          <w:kern w:val="0"/>
          <w:sz w:val="20"/>
          <w:szCs w:val="20"/>
        </w:rPr>
        <w:t>對於國家法而言，多元法體系的挑戰最早可能是來自國際法。原本屬於各國國內法規範的許多事項，早已逐漸受到國際規範的</w:t>
      </w:r>
      <w:proofErr w:type="gramStart"/>
      <w:r w:rsidRPr="009A46A6">
        <w:rPr>
          <w:rFonts w:eastAsia="華康中明體" w:hint="eastAsia"/>
          <w:color w:val="000000"/>
          <w:kern w:val="0"/>
          <w:sz w:val="20"/>
          <w:szCs w:val="20"/>
        </w:rPr>
        <w:t>規</w:t>
      </w:r>
      <w:proofErr w:type="gramEnd"/>
      <w:r w:rsidRPr="009A46A6">
        <w:rPr>
          <w:rFonts w:eastAsia="華康中明體" w:hint="eastAsia"/>
          <w:color w:val="000000"/>
          <w:kern w:val="0"/>
          <w:sz w:val="20"/>
          <w:szCs w:val="20"/>
        </w:rPr>
        <w:t>制及影響，例如各國的航空、海商、跨國交易等規範。即使是與傳統國家主權密切關聯的法規範事項，例如刑事處罰，也開始出現普遍性的國際規範（如國際刑事法），並進而強制各國適用。又如國際人權法的發展，開始形成跨國人權規範，影響各國國內人權規範的立法及執行。</w:t>
      </w:r>
      <w:r w:rsidR="009D4B17">
        <w:rPr>
          <w:rFonts w:eastAsia="華康中明體" w:hint="eastAsia"/>
          <w:color w:val="000000"/>
          <w:kern w:val="0"/>
          <w:sz w:val="20"/>
          <w:szCs w:val="20"/>
        </w:rPr>
        <w:t>不過，在接受或吸納國際法規範成為國內法規範時，亦涉及另一個可能的負面影響，亦即無條件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接受國際法規範所導致的國內民主赤字問題。而我國由於國際政治因素，正式參與國際公約的談判及締結的機會更少，因此民主赤字</w:t>
      </w:r>
      <w:r w:rsidR="009D4B17">
        <w:rPr>
          <w:rFonts w:eastAsia="華康中明體" w:hint="eastAsia"/>
          <w:color w:val="000000"/>
          <w:kern w:val="0"/>
          <w:sz w:val="20"/>
          <w:szCs w:val="20"/>
        </w:rPr>
        <w:t>問題可能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會比其他國家更嚴重。</w:t>
      </w:r>
      <w:r w:rsidRPr="009A46A6">
        <w:rPr>
          <w:rFonts w:eastAsia="華康中明體"/>
          <w:color w:val="000000"/>
          <w:kern w:val="0"/>
          <w:sz w:val="20"/>
          <w:szCs w:val="20"/>
        </w:rPr>
        <w:t xml:space="preserve"> </w:t>
      </w:r>
    </w:p>
    <w:p w:rsidR="009A46A6" w:rsidRPr="009A46A6" w:rsidRDefault="009A46A6" w:rsidP="00026043">
      <w:pPr>
        <w:overflowPunct w:val="0"/>
        <w:spacing w:line="360" w:lineRule="exact"/>
        <w:ind w:firstLineChars="203" w:firstLine="406"/>
        <w:jc w:val="both"/>
        <w:rPr>
          <w:rFonts w:eastAsia="華康中明體"/>
          <w:color w:val="000000"/>
          <w:kern w:val="0"/>
          <w:sz w:val="20"/>
          <w:szCs w:val="20"/>
        </w:rPr>
      </w:pPr>
      <w:r w:rsidRPr="009A46A6">
        <w:rPr>
          <w:rFonts w:eastAsia="華康中明體" w:hint="eastAsia"/>
          <w:color w:val="000000"/>
          <w:kern w:val="0"/>
          <w:sz w:val="20"/>
          <w:szCs w:val="20"/>
        </w:rPr>
        <w:t>多元法律體系的出現，不僅僅限於國際法與國內法兩個不同法</w:t>
      </w:r>
      <w:proofErr w:type="gramStart"/>
      <w:r w:rsidRPr="009A46A6">
        <w:rPr>
          <w:rFonts w:eastAsia="華康中明體" w:hint="eastAsia"/>
          <w:color w:val="000000"/>
          <w:kern w:val="0"/>
          <w:sz w:val="20"/>
          <w:szCs w:val="20"/>
        </w:rPr>
        <w:t>體系間的整合</w:t>
      </w:r>
      <w:proofErr w:type="gramEnd"/>
      <w:r w:rsidRPr="009A46A6">
        <w:rPr>
          <w:rFonts w:eastAsia="華康中明體" w:hint="eastAsia"/>
          <w:color w:val="000000"/>
          <w:kern w:val="0"/>
          <w:sz w:val="20"/>
          <w:szCs w:val="20"/>
        </w:rPr>
        <w:t>，也同時出現於原本各國的國內法體系內。例如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承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認原住民族之自主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及自治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，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得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適用其固有的法規範體系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。但此是否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意謂國家法及規範原則（特別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是憲法位階規範）的必然退讓？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例如</w:t>
      </w:r>
      <w:proofErr w:type="gramStart"/>
      <w:r w:rsidRPr="009A46A6">
        <w:rPr>
          <w:rFonts w:eastAsia="華康中明體" w:hint="eastAsia"/>
          <w:color w:val="000000"/>
          <w:kern w:val="0"/>
          <w:sz w:val="20"/>
          <w:szCs w:val="20"/>
        </w:rPr>
        <w:t>採</w:t>
      </w:r>
      <w:proofErr w:type="gramEnd"/>
      <w:r w:rsidRPr="009A46A6">
        <w:rPr>
          <w:rFonts w:eastAsia="華康中明體" w:hint="eastAsia"/>
          <w:color w:val="000000"/>
          <w:kern w:val="0"/>
          <w:sz w:val="20"/>
          <w:szCs w:val="20"/>
        </w:rPr>
        <w:t>男性頭目世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襲的傳統習慣法，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是否要</w:t>
      </w:r>
      <w:r w:rsidR="0090540D">
        <w:rPr>
          <w:rFonts w:eastAsia="華康中明體" w:hint="eastAsia"/>
          <w:color w:val="000000"/>
          <w:kern w:val="0"/>
          <w:sz w:val="20"/>
          <w:szCs w:val="20"/>
        </w:rPr>
        <w:t>受到國家法性別平等規範的限制，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還是應該承認其得為一國憲法秩序的例外？</w:t>
      </w:r>
      <w:r w:rsidR="0090540D">
        <w:rPr>
          <w:rFonts w:eastAsia="華康中明體" w:hint="eastAsia"/>
          <w:color w:val="000000"/>
          <w:kern w:val="0"/>
          <w:sz w:val="20"/>
          <w:szCs w:val="20"/>
        </w:rPr>
        <w:t>再如承認原住民族的狩獵文化或墾殖文化</w:t>
      </w:r>
      <w:r w:rsidR="0090540D" w:rsidRPr="009A46A6">
        <w:rPr>
          <w:rFonts w:eastAsia="華康中明體" w:hint="eastAsia"/>
          <w:color w:val="000000"/>
          <w:kern w:val="0"/>
          <w:sz w:val="20"/>
          <w:szCs w:val="20"/>
        </w:rPr>
        <w:t>，</w:t>
      </w:r>
      <w:r w:rsidR="0090540D">
        <w:rPr>
          <w:rFonts w:eastAsia="華康中明體" w:hint="eastAsia"/>
          <w:color w:val="000000"/>
          <w:kern w:val="0"/>
          <w:sz w:val="20"/>
          <w:szCs w:val="20"/>
        </w:rPr>
        <w:t>如何影響</w:t>
      </w:r>
      <w:r w:rsidR="0090540D" w:rsidRPr="009A46A6">
        <w:rPr>
          <w:rFonts w:eastAsia="華康中明體" w:hint="eastAsia"/>
          <w:color w:val="000000"/>
          <w:kern w:val="0"/>
          <w:sz w:val="20"/>
          <w:szCs w:val="20"/>
        </w:rPr>
        <w:t>犯罪成立之判斷</w:t>
      </w:r>
      <w:r w:rsidR="0090540D">
        <w:rPr>
          <w:rFonts w:eastAsia="華康中明體" w:hint="eastAsia"/>
          <w:color w:val="000000"/>
          <w:kern w:val="0"/>
          <w:sz w:val="20"/>
          <w:szCs w:val="20"/>
        </w:rPr>
        <w:t>及追訴處罰？</w:t>
      </w:r>
      <w:r w:rsidR="0090540D" w:rsidRPr="009A46A6">
        <w:rPr>
          <w:rFonts w:eastAsia="華康中明體" w:hint="eastAsia"/>
          <w:color w:val="000000"/>
          <w:kern w:val="0"/>
          <w:sz w:val="20"/>
          <w:szCs w:val="20"/>
        </w:rPr>
        <w:t>仍有許多問題需要進一步研究並</w:t>
      </w:r>
      <w:proofErr w:type="gramStart"/>
      <w:r w:rsidR="0090540D" w:rsidRPr="009A46A6">
        <w:rPr>
          <w:rFonts w:eastAsia="華康中明體" w:hint="eastAsia"/>
          <w:color w:val="000000"/>
          <w:kern w:val="0"/>
          <w:sz w:val="20"/>
          <w:szCs w:val="20"/>
        </w:rPr>
        <w:t>釐</w:t>
      </w:r>
      <w:proofErr w:type="gramEnd"/>
      <w:r w:rsidR="0090540D" w:rsidRPr="009A46A6">
        <w:rPr>
          <w:rFonts w:eastAsia="華康中明體" w:hint="eastAsia"/>
          <w:color w:val="000000"/>
          <w:kern w:val="0"/>
          <w:sz w:val="20"/>
          <w:szCs w:val="20"/>
        </w:rPr>
        <w:t>清。</w:t>
      </w:r>
    </w:p>
    <w:p w:rsidR="009A46A6" w:rsidRDefault="009A46A6" w:rsidP="00026043">
      <w:pPr>
        <w:overflowPunct w:val="0"/>
        <w:spacing w:line="360" w:lineRule="exact"/>
        <w:ind w:firstLineChars="203" w:firstLine="406"/>
        <w:jc w:val="both"/>
        <w:rPr>
          <w:rFonts w:eastAsia="華康中明體"/>
          <w:color w:val="000000"/>
          <w:kern w:val="0"/>
          <w:sz w:val="20"/>
          <w:szCs w:val="20"/>
        </w:rPr>
      </w:pPr>
      <w:r w:rsidRPr="009A46A6">
        <w:rPr>
          <w:rFonts w:eastAsia="華康中明體" w:hint="eastAsia"/>
          <w:color w:val="000000"/>
          <w:kern w:val="0"/>
          <w:sz w:val="20"/>
          <w:szCs w:val="20"/>
        </w:rPr>
        <w:lastRenderedPageBreak/>
        <w:t>由於上述國際法規範和</w:t>
      </w:r>
      <w:proofErr w:type="gramStart"/>
      <w:r w:rsidRPr="009A46A6">
        <w:rPr>
          <w:rFonts w:eastAsia="華康中明體" w:hint="eastAsia"/>
          <w:color w:val="000000"/>
          <w:kern w:val="0"/>
          <w:sz w:val="20"/>
          <w:szCs w:val="20"/>
        </w:rPr>
        <w:t>原住民族法等</w:t>
      </w:r>
      <w:proofErr w:type="gramEnd"/>
      <w:r w:rsidRPr="009A46A6">
        <w:rPr>
          <w:rFonts w:eastAsia="華康中明體" w:hint="eastAsia"/>
          <w:color w:val="000000"/>
          <w:kern w:val="0"/>
          <w:sz w:val="20"/>
          <w:szCs w:val="20"/>
        </w:rPr>
        <w:t>之衝擊，以及台灣社會中文化與種族背景不同的移民日益增加（例如信仰伊斯蘭教的東南亞移工），多元法律體系的出現</w:t>
      </w:r>
      <w:r w:rsidR="00E672B6">
        <w:rPr>
          <w:rFonts w:eastAsia="華康中明體" w:hint="eastAsia"/>
          <w:color w:val="000000"/>
          <w:kern w:val="0"/>
          <w:sz w:val="20"/>
          <w:szCs w:val="20"/>
        </w:rPr>
        <w:t>，</w:t>
      </w:r>
      <w:r w:rsidRPr="009A46A6">
        <w:rPr>
          <w:rFonts w:eastAsia="華康中明體" w:hint="eastAsia"/>
          <w:color w:val="000000"/>
          <w:kern w:val="0"/>
          <w:sz w:val="20"/>
          <w:szCs w:val="20"/>
        </w:rPr>
        <w:t>可說已經是現實上的問題及挑戰，而有正視並深入研究的必要。</w:t>
      </w:r>
    </w:p>
    <w:p w:rsidR="006B7B06" w:rsidRPr="0059793C" w:rsidRDefault="006B7B06" w:rsidP="00026043">
      <w:pPr>
        <w:overflowPunct w:val="0"/>
        <w:spacing w:line="360" w:lineRule="exact"/>
        <w:ind w:firstLineChars="200" w:firstLine="400"/>
        <w:jc w:val="both"/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</w:pP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謹此公開向所有法學先進請益，敬請</w:t>
      </w:r>
      <w:proofErr w:type="gramStart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不吝賜稿</w:t>
      </w:r>
      <w:proofErr w:type="gramEnd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。投稿期限至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201</w:t>
      </w:r>
      <w:r w:rsidR="009A46A6">
        <w:rPr>
          <w:rFonts w:eastAsia="華康中明體" w:hint="eastAsia"/>
          <w:color w:val="000000"/>
          <w:kern w:val="0"/>
          <w:sz w:val="20"/>
          <w:szCs w:val="20"/>
          <w:shd w:val="clear" w:color="auto" w:fill="FFFFFF"/>
        </w:rPr>
        <w:t>7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年</w:t>
      </w:r>
      <w:r w:rsidR="00026043">
        <w:rPr>
          <w:rFonts w:eastAsia="華康中明體" w:hint="eastAsia"/>
          <w:color w:val="000000"/>
          <w:kern w:val="0"/>
          <w:sz w:val="20"/>
          <w:szCs w:val="20"/>
          <w:shd w:val="clear" w:color="auto" w:fill="FFFFFF"/>
        </w:rPr>
        <w:t>5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月</w:t>
      </w:r>
      <w:r w:rsidR="00026043">
        <w:rPr>
          <w:rFonts w:eastAsia="華康中明體" w:hint="eastAsia"/>
          <w:color w:val="000000"/>
          <w:kern w:val="0"/>
          <w:sz w:val="20"/>
          <w:szCs w:val="20"/>
          <w:shd w:val="clear" w:color="auto" w:fill="FFFFFF"/>
        </w:rPr>
        <w:t>31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日止，來稿將依</w:t>
      </w:r>
      <w:proofErr w:type="gramStart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本刊雙匿名</w:t>
      </w:r>
      <w:proofErr w:type="gramEnd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審查程序處理。審查通過者，原則上將於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201</w:t>
      </w:r>
      <w:r w:rsidR="009A46A6">
        <w:rPr>
          <w:rFonts w:eastAsia="華康中明體" w:hint="eastAsia"/>
          <w:color w:val="000000"/>
          <w:kern w:val="0"/>
          <w:sz w:val="20"/>
          <w:szCs w:val="20"/>
          <w:shd w:val="clear" w:color="auto" w:fill="FFFFFF"/>
        </w:rPr>
        <w:t>7</w:t>
      </w:r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年特刊內刊登。惟如因篇幅等因素，無法於特刊當期刊出者，本刊編輯委員會綜合考量各項因素後，另擇適當</w:t>
      </w:r>
      <w:proofErr w:type="gramStart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的卷期刊登</w:t>
      </w:r>
      <w:proofErr w:type="gramEnd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，尚</w:t>
      </w:r>
      <w:proofErr w:type="gramStart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祈</w:t>
      </w:r>
      <w:proofErr w:type="gramEnd"/>
      <w:r w:rsidRPr="0059793C">
        <w:rPr>
          <w:rFonts w:eastAsia="華康中明體"/>
          <w:color w:val="000000"/>
          <w:kern w:val="0"/>
          <w:sz w:val="20"/>
          <w:szCs w:val="20"/>
          <w:shd w:val="clear" w:color="auto" w:fill="FFFFFF"/>
        </w:rPr>
        <w:t>見諒。其餘事項，敬請參閱本刊徵稿簡則。</w:t>
      </w:r>
    </w:p>
    <w:p w:rsidR="006B7B06" w:rsidRPr="0078581E" w:rsidRDefault="006B7B06" w:rsidP="006B7B06">
      <w:pPr>
        <w:spacing w:line="360" w:lineRule="exact"/>
        <w:rPr>
          <w:rFonts w:eastAsia="華康中明體"/>
          <w:sz w:val="20"/>
          <w:szCs w:val="20"/>
        </w:rPr>
      </w:pPr>
    </w:p>
    <w:p w:rsidR="006B7B06" w:rsidRPr="00D97DC3" w:rsidRDefault="006B7B06" w:rsidP="006B7B06">
      <w:pPr>
        <w:spacing w:line="360" w:lineRule="exact"/>
        <w:ind w:firstLineChars="200" w:firstLine="400"/>
        <w:jc w:val="both"/>
        <w:rPr>
          <w:rFonts w:eastAsia="華康中明體"/>
          <w:color w:val="FF0000"/>
          <w:sz w:val="20"/>
          <w:szCs w:val="20"/>
        </w:rPr>
      </w:pPr>
    </w:p>
    <w:p w:rsidR="00447355" w:rsidRDefault="00447355"/>
    <w:sectPr w:rsidR="00447355" w:rsidSect="006B7B06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3119" w:right="2699" w:bottom="2552" w:left="2699" w:header="2540" w:footer="2268" w:gutter="0"/>
      <w:pgNumType w:fmt="lowerRoman"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30" w:rsidRDefault="000D0930" w:rsidP="00210023">
      <w:r>
        <w:separator/>
      </w:r>
    </w:p>
  </w:endnote>
  <w:endnote w:type="continuationSeparator" w:id="0">
    <w:p w:rsidR="000D0930" w:rsidRDefault="000D0930" w:rsidP="002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2" w:rsidRDefault="000D09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2" w:rsidRDefault="000D09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30" w:rsidRDefault="000D0930" w:rsidP="00210023">
      <w:r>
        <w:separator/>
      </w:r>
    </w:p>
  </w:footnote>
  <w:footnote w:type="continuationSeparator" w:id="0">
    <w:p w:rsidR="000D0930" w:rsidRDefault="000D0930" w:rsidP="0021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2" w:rsidRDefault="00210023">
    <w:pPr>
      <w:pStyle w:val="a3"/>
      <w:ind w:right="360"/>
      <w:rPr>
        <w:rFonts w:ascii="華康細圓體" w:eastAsia="華康細圓體"/>
        <w:sz w:val="17"/>
      </w:rPr>
    </w:pPr>
    <w:r>
      <w:rPr>
        <w:rStyle w:val="a7"/>
        <w:rFonts w:ascii="華康細圓體" w:eastAsia="華康細圓體"/>
        <w:sz w:val="17"/>
        <w:szCs w:val="17"/>
      </w:rPr>
      <w:fldChar w:fldCharType="begin"/>
    </w:r>
    <w:r w:rsidR="0095442A">
      <w:rPr>
        <w:rStyle w:val="a7"/>
        <w:rFonts w:ascii="華康細圓體" w:eastAsia="華康細圓體"/>
        <w:sz w:val="17"/>
        <w:szCs w:val="17"/>
      </w:rPr>
      <w:instrText xml:space="preserve"> PAGE </w:instrText>
    </w:r>
    <w:r>
      <w:rPr>
        <w:rStyle w:val="a7"/>
        <w:rFonts w:ascii="華康細圓體" w:eastAsia="華康細圓體"/>
        <w:sz w:val="17"/>
        <w:szCs w:val="17"/>
      </w:rPr>
      <w:fldChar w:fldCharType="separate"/>
    </w:r>
    <w:r w:rsidR="0095442A">
      <w:rPr>
        <w:rStyle w:val="a7"/>
        <w:rFonts w:ascii="華康細圓體" w:eastAsia="華康細圓體"/>
        <w:noProof/>
        <w:sz w:val="17"/>
        <w:szCs w:val="17"/>
      </w:rPr>
      <w:t>vi</w:t>
    </w:r>
    <w:r>
      <w:rPr>
        <w:rStyle w:val="a7"/>
        <w:rFonts w:ascii="華康細圓體" w:eastAsia="華康細圓體"/>
        <w:sz w:val="17"/>
        <w:szCs w:val="17"/>
      </w:rPr>
      <w:fldChar w:fldCharType="end"/>
    </w:r>
    <w:r w:rsidR="0095442A">
      <w:rPr>
        <w:rStyle w:val="a7"/>
        <w:rFonts w:ascii="華康細圓體" w:eastAsia="華康細圓體"/>
        <w:sz w:val="17"/>
        <w:szCs w:val="17"/>
      </w:rPr>
      <w:t xml:space="preserve">  </w:t>
    </w:r>
    <w:r w:rsidR="0095442A">
      <w:rPr>
        <w:rStyle w:val="a7"/>
        <w:rFonts w:ascii="華康細圓體" w:eastAsia="華康細圓體" w:hint="eastAsia"/>
        <w:sz w:val="17"/>
        <w:szCs w:val="17"/>
      </w:rPr>
      <w:t>臺大</w:t>
    </w:r>
    <w:proofErr w:type="gramStart"/>
    <w:r w:rsidR="0095442A">
      <w:rPr>
        <w:rStyle w:val="a7"/>
        <w:rFonts w:ascii="華康細圓體" w:eastAsia="華康細圓體" w:hint="eastAsia"/>
        <w:sz w:val="17"/>
        <w:szCs w:val="17"/>
      </w:rPr>
      <w:t>法學論叢</w:t>
    </w:r>
    <w:r w:rsidR="0095442A">
      <w:rPr>
        <w:rStyle w:val="a7"/>
        <w:rFonts w:ascii="華康細圓體" w:eastAsia="華康細圓體"/>
        <w:sz w:val="17"/>
      </w:rPr>
      <w:t>第</w:t>
    </w:r>
    <w:r w:rsidR="0095442A">
      <w:rPr>
        <w:rStyle w:val="a7"/>
        <w:rFonts w:ascii="華康細圓體" w:eastAsia="華康細圓體" w:hint="eastAsia"/>
        <w:sz w:val="17"/>
      </w:rPr>
      <w:t>三十六</w:t>
    </w:r>
    <w:proofErr w:type="gramEnd"/>
    <w:r w:rsidR="0095442A">
      <w:rPr>
        <w:rStyle w:val="a7"/>
        <w:rFonts w:ascii="華康細圓體" w:eastAsia="華康細圓體" w:hint="eastAsia"/>
        <w:sz w:val="17"/>
      </w:rPr>
      <w:t>卷第三期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2" w:rsidRDefault="0095442A">
    <w:pPr>
      <w:pStyle w:val="a3"/>
      <w:adjustRightInd w:val="0"/>
      <w:snapToGrid/>
      <w:jc w:val="right"/>
      <w:rPr>
        <w:rFonts w:ascii="華康細圓體" w:eastAsia="華康細圓體"/>
        <w:sz w:val="17"/>
      </w:rPr>
    </w:pPr>
    <w:r>
      <w:rPr>
        <w:rStyle w:val="a7"/>
        <w:rFonts w:ascii="華康細圓體" w:eastAsia="華康細圓體"/>
        <w:sz w:val="17"/>
        <w:szCs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6"/>
    <w:rsid w:val="00026043"/>
    <w:rsid w:val="000D0930"/>
    <w:rsid w:val="00210023"/>
    <w:rsid w:val="00282B5F"/>
    <w:rsid w:val="00447355"/>
    <w:rsid w:val="00477DC0"/>
    <w:rsid w:val="0056249D"/>
    <w:rsid w:val="006B7B06"/>
    <w:rsid w:val="0090540D"/>
    <w:rsid w:val="0095442A"/>
    <w:rsid w:val="009A46A6"/>
    <w:rsid w:val="009D4B17"/>
    <w:rsid w:val="00B07410"/>
    <w:rsid w:val="00E33069"/>
    <w:rsid w:val="00E672B6"/>
    <w:rsid w:val="00E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7B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B7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7B0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B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7B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B7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7B0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B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2016-09-09T01:07:00Z</dcterms:created>
  <dcterms:modified xsi:type="dcterms:W3CDTF">2016-09-09T01:07:00Z</dcterms:modified>
</cp:coreProperties>
</file>